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1" w:rsidRPr="00275265" w:rsidRDefault="00B261B1" w:rsidP="005E3D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B261B1" w:rsidRPr="00275265" w:rsidRDefault="00B261B1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B261B1" w:rsidRPr="00275265" w:rsidRDefault="00B261B1" w:rsidP="005E3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61B1" w:rsidRPr="00275265" w:rsidRDefault="00B261B1" w:rsidP="005E3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61B1" w:rsidRPr="00275265" w:rsidRDefault="00B261B1" w:rsidP="005E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B261B1" w:rsidRPr="00275265" w:rsidRDefault="00B261B1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1B1" w:rsidRDefault="00B261B1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104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B261B1" w:rsidRPr="005E3D7B" w:rsidRDefault="00B261B1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C6C">
        <w:rPr>
          <w:rFonts w:ascii="Times New Roman" w:hAnsi="Times New Roman"/>
          <w:sz w:val="28"/>
          <w:szCs w:val="28"/>
        </w:rPr>
        <w:t xml:space="preserve">       </w:t>
      </w:r>
    </w:p>
    <w:p w:rsidR="00B261B1" w:rsidRPr="005E3D7B" w:rsidRDefault="00B261B1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Об утверждении отчета о реализации </w:t>
      </w:r>
      <w:r>
        <w:rPr>
          <w:rFonts w:ascii="Times New Roman" w:hAnsi="Times New Roman"/>
          <w:sz w:val="24"/>
          <w:szCs w:val="24"/>
        </w:rPr>
        <w:t xml:space="preserve">и оценке эффективности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2014 - 2016 год»</w:t>
      </w:r>
    </w:p>
    <w:p w:rsidR="00B261B1" w:rsidRDefault="00B261B1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B261B1" w:rsidRDefault="00B261B1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B261B1" w:rsidRPr="005E3D7B" w:rsidRDefault="00B261B1" w:rsidP="00F21085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от 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B261B1" w:rsidRPr="005E3D7B" w:rsidRDefault="00B261B1" w:rsidP="005E3D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1. Утвердить   отчет о   реализации   муниципальной   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Pr="00F21085">
        <w:rPr>
          <w:rFonts w:ascii="Times New Roman" w:hAnsi="Times New Roman"/>
          <w:sz w:val="24"/>
          <w:szCs w:val="24"/>
        </w:rPr>
        <w:t>поселение 17.12.2013 года № 226 (с изменениями, внесенными постановлениями № 292 от 11.11.2014 г., № 373 от 30.12.2014 г., № 503 от 30.12.2015 года) за 2015 год, согласно</w:t>
      </w:r>
      <w:r w:rsidRPr="005E3D7B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B261B1" w:rsidRPr="005E3D7B" w:rsidRDefault="00B261B1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B261B1" w:rsidRPr="005E3D7B" w:rsidRDefault="00B261B1" w:rsidP="005E3D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</w:t>
      </w:r>
    </w:p>
    <w:p w:rsidR="00B261B1" w:rsidRPr="00FB43E7" w:rsidRDefault="00B261B1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261B1" w:rsidRPr="00FB43E7" w:rsidRDefault="00B261B1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261B1" w:rsidRDefault="00B261B1" w:rsidP="005E3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61B1" w:rsidRDefault="00B261B1" w:rsidP="005E3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61B1" w:rsidRPr="005E3D7B" w:rsidRDefault="00B261B1" w:rsidP="005E3D7B">
      <w:pPr>
        <w:spacing w:after="0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   И. о. главы  администрации           </w:t>
      </w:r>
      <w:r w:rsidRPr="005E3D7B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E3D7B">
        <w:rPr>
          <w:rFonts w:ascii="Times New Roman" w:hAnsi="Times New Roman"/>
          <w:sz w:val="24"/>
          <w:szCs w:val="24"/>
        </w:rPr>
        <w:t xml:space="preserve">               Л.С.Шуткина</w:t>
      </w:r>
    </w:p>
    <w:p w:rsidR="00B261B1" w:rsidRDefault="00B261B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1B1" w:rsidRDefault="00B261B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1B1" w:rsidRDefault="00B261B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1B1" w:rsidRDefault="00B261B1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1B1" w:rsidRPr="00FB43E7" w:rsidRDefault="00B261B1" w:rsidP="00FB43E7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Е.А.Шишла</w:t>
      </w:r>
      <w:r w:rsidRPr="00FB43E7">
        <w:rPr>
          <w:rFonts w:ascii="Times New Roman" w:hAnsi="Times New Roman"/>
          <w:sz w:val="20"/>
        </w:rPr>
        <w:t xml:space="preserve"> тел. 8 (813 79) </w:t>
      </w:r>
      <w:r>
        <w:rPr>
          <w:rFonts w:ascii="Times New Roman" w:hAnsi="Times New Roman"/>
          <w:sz w:val="20"/>
        </w:rPr>
        <w:t>66 334</w:t>
      </w:r>
    </w:p>
    <w:p w:rsidR="00B261B1" w:rsidRDefault="00B261B1" w:rsidP="005E3D7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B261B1" w:rsidRDefault="00B261B1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261B1" w:rsidRPr="005E3D7B" w:rsidRDefault="00B261B1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B261B1" w:rsidRPr="005E3D7B" w:rsidRDefault="00B261B1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B261B1" w:rsidRPr="005E3D7B" w:rsidRDefault="00B261B1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B261B1" w:rsidRPr="005E3D7B" w:rsidRDefault="00B261B1" w:rsidP="005E3D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От  0</w:t>
      </w:r>
      <w:r>
        <w:rPr>
          <w:rFonts w:ascii="Times New Roman" w:hAnsi="Times New Roman"/>
          <w:sz w:val="18"/>
          <w:szCs w:val="18"/>
          <w:lang w:eastAsia="ru-RU"/>
        </w:rPr>
        <w:t>4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 апреля 2016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104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:rsidR="00B261B1" w:rsidRPr="005E3D7B" w:rsidRDefault="00B261B1" w:rsidP="005E3D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5 г"/>
        </w:smartTagP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>2015 г</w:t>
        </w:r>
      </w:smartTag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5E3D7B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2014 - 2016 год»</w:t>
      </w: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B261B1" w:rsidRPr="00F21085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B261B1" w:rsidRPr="005E3D7B" w:rsidRDefault="00B261B1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Шуткина Л.С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61B1" w:rsidRPr="005E3D7B" w:rsidRDefault="00B261B1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B261B1" w:rsidRPr="005E3D7B" w:rsidRDefault="00B261B1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04.04.2016 г</w:t>
      </w:r>
    </w:p>
    <w:p w:rsidR="00B261B1" w:rsidRPr="005E3D7B" w:rsidRDefault="00B261B1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B261B1" w:rsidRDefault="00B261B1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61B1" w:rsidRPr="00F43447" w:rsidRDefault="00B261B1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>ОТЧЕТ</w:t>
      </w:r>
    </w:p>
    <w:p w:rsidR="00B261B1" w:rsidRPr="00F43447" w:rsidRDefault="00B261B1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B261B1" w:rsidRPr="00F43447" w:rsidRDefault="00B261B1" w:rsidP="00DC66FA">
      <w:pPr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МО </w:t>
      </w:r>
      <w:r>
        <w:rPr>
          <w:rFonts w:ascii="Times New Roman" w:hAnsi="Times New Roman"/>
          <w:sz w:val="24"/>
          <w:szCs w:val="24"/>
        </w:rPr>
        <w:t>ЗАПОРОЖСКОЕ</w:t>
      </w:r>
      <w:r w:rsidRPr="00F43447">
        <w:rPr>
          <w:rFonts w:ascii="Times New Roman" w:hAnsi="Times New Roman"/>
          <w:sz w:val="24"/>
          <w:szCs w:val="24"/>
        </w:rPr>
        <w:t xml:space="preserve"> СЕЛЬСКОЕ ПОСЕЛЕНИЕ М О ПРИОЗЕРСКИЙ МУНИЦИПАЛЬНЫЙ РАЙОН ЛЕНИНГРАДСКОЙ ОБЛАСТИ НА 2014-2016 ГОД»</w:t>
      </w:r>
    </w:p>
    <w:p w:rsidR="00B261B1" w:rsidRDefault="00B261B1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AF2">
        <w:rPr>
          <w:rFonts w:ascii="Times New Roman" w:hAnsi="Times New Roman"/>
          <w:sz w:val="24"/>
          <w:szCs w:val="24"/>
        </w:rPr>
        <w:t xml:space="preserve">Муниципальная программа «Обеспечение качественным жильем граждан на территории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на 2014-2016 год» 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21085">
        <w:rPr>
          <w:rFonts w:ascii="Times New Roman" w:hAnsi="Times New Roman"/>
          <w:sz w:val="24"/>
          <w:szCs w:val="24"/>
        </w:rPr>
        <w:t>17.12.2013 года № 226 с изменениями, внесенными постановлениями № 292 от 11.11.2014 г., № 373 от 30.12.2014 г., № 503 от 30.12.2015 года</w:t>
      </w:r>
      <w:r>
        <w:rPr>
          <w:rFonts w:ascii="Times New Roman" w:hAnsi="Times New Roman"/>
          <w:sz w:val="24"/>
          <w:szCs w:val="24"/>
        </w:rPr>
        <w:t xml:space="preserve">.                                 </w:t>
      </w:r>
    </w:p>
    <w:p w:rsidR="00B261B1" w:rsidRPr="00233AF2" w:rsidRDefault="00B261B1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Целью Программы является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Запорожское сельское поселение.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По подпрограмме «Развитие инженерной и социальной инфраструктуры в районах массовой застройки муниципального образования Запорожское сельское поселение»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- 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 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прохождение государственной экспертизы проектно-сметной документации.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Источником финансирования Программы является бюджет муниципального образования Запорожское сельское поселение и бюджет Ленинградской области.</w:t>
      </w:r>
    </w:p>
    <w:p w:rsidR="00B261B1" w:rsidRPr="00233AF2" w:rsidRDefault="00B261B1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В Программе на финансирование мероприятий в 2015 году за счет бюджета муниципального образования предусмотрено 11 646,6 тысяч рублей, профинансировано в объеме 5 344,0 тысяч рублей.</w:t>
      </w:r>
    </w:p>
    <w:p w:rsidR="00B261B1" w:rsidRPr="00233AF2" w:rsidRDefault="00B261B1" w:rsidP="005E3D7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2015 год отражена в </w:t>
      </w:r>
      <w:r w:rsidRPr="00233AF2">
        <w:rPr>
          <w:rFonts w:ascii="Times New Roman" w:hAnsi="Times New Roman"/>
          <w:b/>
          <w:sz w:val="24"/>
          <w:szCs w:val="24"/>
        </w:rPr>
        <w:t>Приложении</w:t>
      </w:r>
      <w:r w:rsidRPr="00233AF2">
        <w:rPr>
          <w:rFonts w:ascii="Times New Roman" w:hAnsi="Times New Roman"/>
          <w:sz w:val="24"/>
          <w:szCs w:val="24"/>
        </w:rPr>
        <w:t xml:space="preserve"> 1 к настоящему отчету.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В 2015 году в рамках подпрограммы «Развитие инженерной и социальной инфраструктуры в районах массовой застройки муниципального образования Запорожское сельское поселение» выполнялись следующие мероприятия: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разработка проектно-сметной документации;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прохождение государственной экспертизы проектно-сметной документации по двум массивам.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бюджета муниципального образования Запорожское сельское поселение на реализацию подпрограммы за 2015 год отражена в </w:t>
      </w:r>
      <w:r w:rsidRPr="00233AF2">
        <w:rPr>
          <w:rFonts w:ascii="Times New Roman" w:hAnsi="Times New Roman"/>
          <w:b/>
          <w:sz w:val="24"/>
          <w:szCs w:val="24"/>
        </w:rPr>
        <w:t>Приложении 2</w:t>
      </w:r>
      <w:r w:rsidRPr="00233AF2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B261B1" w:rsidRPr="00233AF2" w:rsidRDefault="00B261B1" w:rsidP="00FE4DE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Федерации. 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одного индикатора:</w:t>
      </w:r>
    </w:p>
    <w:p w:rsidR="00B261B1" w:rsidRPr="00233AF2" w:rsidRDefault="00B261B1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семей.</w:t>
      </w:r>
    </w:p>
    <w:p w:rsidR="00B261B1" w:rsidRDefault="00B261B1" w:rsidP="000A404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достижении значений показателей Программы отражена в приложении №3 к настоящему отчету.</w:t>
      </w:r>
    </w:p>
    <w:p w:rsidR="00B261B1" w:rsidRPr="00325C5F" w:rsidRDefault="00B261B1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B261B1" w:rsidRDefault="00B261B1" w:rsidP="00A65EF0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B261B1" w:rsidRPr="00325C5F" w:rsidRDefault="00B261B1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B261B1" w:rsidRDefault="00B261B1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МЕРОПРИЯТИЙМУНИЦИПАЛЬНОЙ ПРОГРАММЫ «</w:t>
      </w:r>
      <w:r>
        <w:rPr>
          <w:rFonts w:ascii="Times New Roman" w:hAnsi="Times New Roman"/>
          <w:b/>
          <w:sz w:val="20"/>
          <w:szCs w:val="20"/>
        </w:rPr>
        <w:t xml:space="preserve">ОБЕСПЕЧЕНИЕ КАЧЕСТВЕННЫМ ЖИЛЬЕМ ГРАЖДАН НА </w:t>
      </w:r>
      <w:r w:rsidRPr="00325C5F">
        <w:rPr>
          <w:rFonts w:ascii="Times New Roman" w:hAnsi="Times New Roman"/>
          <w:b/>
          <w:sz w:val="20"/>
          <w:szCs w:val="20"/>
        </w:rPr>
        <w:t xml:space="preserve">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B261B1" w:rsidRPr="00325C5F" w:rsidRDefault="00B261B1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2268"/>
        <w:gridCol w:w="1701"/>
        <w:gridCol w:w="1134"/>
        <w:gridCol w:w="993"/>
        <w:gridCol w:w="2103"/>
      </w:tblGrid>
      <w:tr w:rsidR="00B261B1" w:rsidRPr="003926CC">
        <w:trPr>
          <w:trHeight w:val="600"/>
        </w:trPr>
        <w:tc>
          <w:tcPr>
            <w:tcW w:w="567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701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127" w:type="dxa"/>
            <w:gridSpan w:val="2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B261B1" w:rsidRPr="003926CC">
        <w:trPr>
          <w:trHeight w:val="495"/>
        </w:trPr>
        <w:tc>
          <w:tcPr>
            <w:tcW w:w="567" w:type="dxa"/>
            <w:vMerge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03" w:type="dxa"/>
            <w:vMerge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B1" w:rsidRPr="003926CC">
        <w:trPr>
          <w:trHeight w:val="371"/>
        </w:trPr>
        <w:tc>
          <w:tcPr>
            <w:tcW w:w="10751" w:type="dxa"/>
            <w:gridSpan w:val="7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3926C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261B1" w:rsidRPr="003926CC">
        <w:trPr>
          <w:trHeight w:val="3781"/>
        </w:trPr>
        <w:tc>
          <w:tcPr>
            <w:tcW w:w="567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2268" w:type="dxa"/>
          </w:tcPr>
          <w:p w:rsidR="00B261B1" w:rsidRDefault="00B261B1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– Шишла Е.А</w:t>
            </w:r>
            <w:r w:rsidRPr="00392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261B1" w:rsidRPr="003926CC" w:rsidRDefault="00B261B1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срока проведения государственной экспертизы</w:t>
            </w:r>
          </w:p>
        </w:tc>
      </w:tr>
    </w:tbl>
    <w:p w:rsidR="00B261B1" w:rsidRDefault="00B261B1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261B1" w:rsidSect="00233AF2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B261B1" w:rsidRDefault="00B261B1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B261B1" w:rsidRDefault="00B261B1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261B1" w:rsidRPr="007328C8" w:rsidRDefault="00B261B1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B261B1" w:rsidRDefault="00B261B1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>
        <w:rPr>
          <w:rFonts w:ascii="Times New Roman" w:hAnsi="Times New Roman"/>
          <w:b/>
          <w:sz w:val="20"/>
          <w:szCs w:val="20"/>
        </w:rPr>
        <w:t xml:space="preserve">ОБЕСПЕЧЕНИЕ КАЧЕСТВЕННЫМ ЖИЛЬЕМ ГРАЖДАН НА </w:t>
      </w:r>
      <w:r w:rsidRPr="007328C8">
        <w:rPr>
          <w:rFonts w:ascii="Times New Roman" w:hAnsi="Times New Roman"/>
          <w:b/>
          <w:sz w:val="20"/>
          <w:szCs w:val="20"/>
        </w:rPr>
        <w:t xml:space="preserve">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908"/>
        <w:gridCol w:w="1658"/>
        <w:gridCol w:w="866"/>
        <w:gridCol w:w="1382"/>
        <w:gridCol w:w="1141"/>
        <w:gridCol w:w="1008"/>
        <w:gridCol w:w="1119"/>
        <w:gridCol w:w="766"/>
        <w:gridCol w:w="1382"/>
        <w:gridCol w:w="1150"/>
        <w:gridCol w:w="1008"/>
        <w:gridCol w:w="1119"/>
        <w:gridCol w:w="566"/>
      </w:tblGrid>
      <w:tr w:rsidR="00B261B1" w:rsidRPr="003926CC">
        <w:trPr>
          <w:trHeight w:val="270"/>
        </w:trPr>
        <w:tc>
          <w:tcPr>
            <w:tcW w:w="486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58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16" w:type="dxa"/>
            <w:gridSpan w:val="5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5425" w:type="dxa"/>
            <w:gridSpan w:val="5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566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261B1" w:rsidRPr="003926CC">
        <w:trPr>
          <w:trHeight w:val="240"/>
        </w:trPr>
        <w:tc>
          <w:tcPr>
            <w:tcW w:w="486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66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9" w:type="dxa"/>
            <w:gridSpan w:val="4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6" w:type="dxa"/>
            <w:vMerge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B1" w:rsidRPr="003926CC">
        <w:trPr>
          <w:trHeight w:val="205"/>
        </w:trPr>
        <w:tc>
          <w:tcPr>
            <w:tcW w:w="486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66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6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B1" w:rsidRPr="003926CC">
        <w:tc>
          <w:tcPr>
            <w:tcW w:w="15559" w:type="dxa"/>
            <w:gridSpan w:val="14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B261B1" w:rsidRPr="003926CC">
        <w:tc>
          <w:tcPr>
            <w:tcW w:w="48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>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и прохождение государственной экспертизы</w:t>
            </w:r>
          </w:p>
        </w:tc>
        <w:tc>
          <w:tcPr>
            <w:tcW w:w="86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11646,6</w:t>
            </w:r>
          </w:p>
        </w:tc>
        <w:tc>
          <w:tcPr>
            <w:tcW w:w="1382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8 960,4</w:t>
            </w:r>
          </w:p>
        </w:tc>
        <w:tc>
          <w:tcPr>
            <w:tcW w:w="1008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2 686,2</w:t>
            </w:r>
          </w:p>
        </w:tc>
        <w:tc>
          <w:tcPr>
            <w:tcW w:w="111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5344,0</w:t>
            </w:r>
          </w:p>
        </w:tc>
        <w:tc>
          <w:tcPr>
            <w:tcW w:w="1382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2681,4</w:t>
            </w:r>
          </w:p>
        </w:tc>
        <w:tc>
          <w:tcPr>
            <w:tcW w:w="1008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2 662,6</w:t>
            </w:r>
          </w:p>
        </w:tc>
        <w:tc>
          <w:tcPr>
            <w:tcW w:w="111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B261B1" w:rsidRPr="003926CC">
        <w:tc>
          <w:tcPr>
            <w:tcW w:w="48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6C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8" w:type="dxa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11646,6</w:t>
            </w:r>
          </w:p>
        </w:tc>
        <w:tc>
          <w:tcPr>
            <w:tcW w:w="1382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8 960,4</w:t>
            </w:r>
          </w:p>
        </w:tc>
        <w:tc>
          <w:tcPr>
            <w:tcW w:w="1008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2 686,2</w:t>
            </w:r>
          </w:p>
        </w:tc>
        <w:tc>
          <w:tcPr>
            <w:tcW w:w="1119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5344,0</w:t>
            </w:r>
          </w:p>
        </w:tc>
        <w:tc>
          <w:tcPr>
            <w:tcW w:w="1382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2681,4</w:t>
            </w:r>
          </w:p>
        </w:tc>
        <w:tc>
          <w:tcPr>
            <w:tcW w:w="1008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626">
              <w:rPr>
                <w:rFonts w:ascii="Times New Roman" w:hAnsi="Times New Roman"/>
                <w:b/>
                <w:sz w:val="20"/>
                <w:szCs w:val="20"/>
              </w:rPr>
              <w:t>2 662,6</w:t>
            </w:r>
          </w:p>
        </w:tc>
        <w:tc>
          <w:tcPr>
            <w:tcW w:w="1119" w:type="dxa"/>
          </w:tcPr>
          <w:p w:rsidR="00B261B1" w:rsidRPr="009C0626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</w:tr>
    </w:tbl>
    <w:p w:rsidR="00B261B1" w:rsidRDefault="00B261B1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261B1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61B1" w:rsidRDefault="00B261B1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B261B1" w:rsidRDefault="00B261B1" w:rsidP="00233A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61B1" w:rsidRPr="005D21E0" w:rsidRDefault="00B261B1" w:rsidP="00233A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СВЕДЕНИЯ</w:t>
      </w:r>
    </w:p>
    <w:p w:rsidR="00B261B1" w:rsidRPr="005D21E0" w:rsidRDefault="00B261B1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О ДОСТИЖЕНИИ ЗНАЧЕНИЙ ПОКАЗАТЕЛЕЙ МУНИЦИПАЛЬНОЙ ПРОГРАММЫ</w:t>
      </w:r>
    </w:p>
    <w:p w:rsidR="00B261B1" w:rsidRPr="005D21E0" w:rsidRDefault="00B261B1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0"/>
          <w:szCs w:val="20"/>
        </w:rPr>
        <w:t>ЗАПОРОЖСКОЕ</w:t>
      </w:r>
      <w:r w:rsidRPr="005D21E0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B261B1" w:rsidRPr="005D21E0" w:rsidRDefault="00B261B1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p w:rsidR="00B261B1" w:rsidRPr="005D21E0" w:rsidRDefault="00B261B1" w:rsidP="00233AF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3129"/>
        <w:gridCol w:w="809"/>
        <w:gridCol w:w="1824"/>
        <w:gridCol w:w="750"/>
        <w:gridCol w:w="987"/>
        <w:gridCol w:w="1701"/>
      </w:tblGrid>
      <w:tr w:rsidR="00B261B1" w:rsidRPr="003926CC">
        <w:trPr>
          <w:trHeight w:val="780"/>
        </w:trPr>
        <w:tc>
          <w:tcPr>
            <w:tcW w:w="689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09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61" w:type="dxa"/>
            <w:gridSpan w:val="3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B261B1" w:rsidRPr="003926CC">
        <w:trPr>
          <w:trHeight w:val="240"/>
        </w:trPr>
        <w:tc>
          <w:tcPr>
            <w:tcW w:w="68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37" w:type="dxa"/>
            <w:gridSpan w:val="2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B1" w:rsidRPr="003926CC">
        <w:trPr>
          <w:trHeight w:val="105"/>
        </w:trPr>
        <w:tc>
          <w:tcPr>
            <w:tcW w:w="68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B1" w:rsidRPr="003926CC">
        <w:trPr>
          <w:trHeight w:val="105"/>
        </w:trPr>
        <w:tc>
          <w:tcPr>
            <w:tcW w:w="68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61B1" w:rsidRPr="003926CC">
        <w:trPr>
          <w:trHeight w:val="455"/>
        </w:trPr>
        <w:tc>
          <w:tcPr>
            <w:tcW w:w="9889" w:type="dxa"/>
            <w:gridSpan w:val="7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B261B1" w:rsidRPr="003926CC">
        <w:trPr>
          <w:trHeight w:val="455"/>
        </w:trPr>
        <w:tc>
          <w:tcPr>
            <w:tcW w:w="68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9" w:type="dxa"/>
            <w:gridSpan w:val="5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170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B1" w:rsidRPr="003926CC">
        <w:trPr>
          <w:trHeight w:val="1200"/>
        </w:trPr>
        <w:tc>
          <w:tcPr>
            <w:tcW w:w="689" w:type="dxa"/>
          </w:tcPr>
          <w:p w:rsidR="00B261B1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B261B1" w:rsidRPr="003926CC" w:rsidRDefault="00B261B1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проектно сметной документации на строительство инженерной, транспортной инфраструктуры на  массивах</w:t>
            </w:r>
          </w:p>
        </w:tc>
        <w:tc>
          <w:tcPr>
            <w:tcW w:w="80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824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Продление срока прохождения государственной экспертизы</w:t>
            </w:r>
          </w:p>
        </w:tc>
      </w:tr>
      <w:tr w:rsidR="00B261B1" w:rsidRPr="003926CC">
        <w:trPr>
          <w:trHeight w:val="455"/>
        </w:trPr>
        <w:tc>
          <w:tcPr>
            <w:tcW w:w="689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B261B1" w:rsidRPr="003926CC" w:rsidRDefault="00B261B1" w:rsidP="0023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территории жилой застройки объектами инженерной и транспортной инфраструктуры</w:t>
            </w:r>
          </w:p>
        </w:tc>
        <w:tc>
          <w:tcPr>
            <w:tcW w:w="809" w:type="dxa"/>
          </w:tcPr>
          <w:p w:rsidR="00B261B1" w:rsidRPr="003926CC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4" w:type="dxa"/>
          </w:tcPr>
          <w:p w:rsidR="00B261B1" w:rsidRPr="003926CC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261B1" w:rsidRPr="003926CC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7" w:type="dxa"/>
          </w:tcPr>
          <w:p w:rsidR="00B261B1" w:rsidRPr="003926CC" w:rsidRDefault="00B261B1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61B1" w:rsidRPr="003926CC" w:rsidRDefault="00B261B1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1B1" w:rsidRDefault="00B261B1" w:rsidP="00F434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261B1" w:rsidRDefault="00B261B1" w:rsidP="00F434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261B1" w:rsidRPr="00266C19" w:rsidRDefault="00B261B1" w:rsidP="00F43447">
      <w:pPr>
        <w:spacing w:after="0"/>
        <w:rPr>
          <w:rFonts w:ascii="Times New Roman" w:hAnsi="Times New Roman"/>
          <w:sz w:val="24"/>
          <w:szCs w:val="24"/>
        </w:rPr>
      </w:pPr>
      <w:r w:rsidRPr="00266C19">
        <w:rPr>
          <w:rFonts w:ascii="Times New Roman" w:hAnsi="Times New Roman"/>
          <w:sz w:val="24"/>
          <w:szCs w:val="24"/>
        </w:rPr>
        <w:t>Подпрограмма «</w:t>
      </w:r>
      <w:r w:rsidRPr="00233AF2"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rFonts w:ascii="Times New Roman" w:hAnsi="Times New Roman"/>
          <w:sz w:val="24"/>
          <w:szCs w:val="24"/>
        </w:rPr>
        <w:t>»</w:t>
      </w:r>
    </w:p>
    <w:p w:rsidR="00B261B1" w:rsidRPr="00266C19" w:rsidRDefault="00B261B1" w:rsidP="004818C3">
      <w:pPr>
        <w:pStyle w:val="BodyText"/>
        <w:spacing w:line="276" w:lineRule="auto"/>
        <w:ind w:left="360"/>
        <w:rPr>
          <w:b/>
          <w:u w:val="single"/>
        </w:rPr>
      </w:pPr>
    </w:p>
    <w:p w:rsidR="00B261B1" w:rsidRPr="00266C19" w:rsidRDefault="00B261B1" w:rsidP="004818C3">
      <w:pPr>
        <w:pStyle w:val="BodyText"/>
        <w:numPr>
          <w:ilvl w:val="0"/>
          <w:numId w:val="4"/>
        </w:numPr>
        <w:spacing w:line="276" w:lineRule="auto"/>
        <w:rPr>
          <w:u w:val="single"/>
        </w:rPr>
      </w:pPr>
      <w:r w:rsidRPr="00266C19">
        <w:rPr>
          <w:u w:val="single"/>
        </w:rPr>
        <w:t>Мероприятия «</w:t>
      </w:r>
      <w:r w:rsidRPr="00233AF2">
        <w:rPr>
          <w:u w:val="single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u w:val="single"/>
        </w:rPr>
        <w:t>»:</w:t>
      </w:r>
    </w:p>
    <w:p w:rsidR="00B261B1" w:rsidRPr="00266C19" w:rsidRDefault="00B261B1" w:rsidP="004818C3">
      <w:pPr>
        <w:pStyle w:val="BodyText"/>
        <w:spacing w:line="276" w:lineRule="auto"/>
        <w:ind w:left="450"/>
        <w:rPr>
          <w:u w:val="single"/>
        </w:rPr>
      </w:pPr>
    </w:p>
    <w:p w:rsidR="00B261B1" w:rsidRPr="00266C19" w:rsidRDefault="00B261B1" w:rsidP="004818C3">
      <w:pPr>
        <w:pStyle w:val="BodyText"/>
        <w:spacing w:line="276" w:lineRule="auto"/>
        <w:ind w:left="360"/>
      </w:pPr>
      <w:r w:rsidRPr="00266C19">
        <w:t>1.1. Индекс результативности мероприятий:</w:t>
      </w:r>
    </w:p>
    <w:p w:rsidR="00B261B1" w:rsidRPr="00266C19" w:rsidRDefault="00B261B1" w:rsidP="004818C3">
      <w:pPr>
        <w:pStyle w:val="BodyText"/>
        <w:spacing w:line="276" w:lineRule="auto"/>
        <w:ind w:left="360"/>
      </w:pPr>
    </w:p>
    <w:p w:rsidR="00B261B1" w:rsidRPr="00266C19" w:rsidRDefault="00B261B1" w:rsidP="004818C3">
      <w:pPr>
        <w:pStyle w:val="BodyText"/>
        <w:spacing w:line="276" w:lineRule="auto"/>
        <w:ind w:left="360" w:firstLine="491"/>
      </w:pPr>
      <w:r w:rsidRPr="00266C19">
        <w:t xml:space="preserve">1.1. расселяемая площадь (кв.м): 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Пфit      1 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Рit = ------ = ----= 0,5</w:t>
      </w:r>
    </w:p>
    <w:p w:rsidR="00B261B1" w:rsidRPr="00266C19" w:rsidRDefault="00B261B1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Ппit     2</w:t>
      </w:r>
    </w:p>
    <w:p w:rsidR="00B261B1" w:rsidRDefault="00B261B1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6C19">
        <w:rPr>
          <w:rFonts w:ascii="Times New Roman" w:hAnsi="Times New Roman"/>
          <w:sz w:val="24"/>
          <w:szCs w:val="24"/>
        </w:rPr>
        <w:t xml:space="preserve">     2. Интегральная оценка результативности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m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SUM</w:t>
      </w:r>
      <w:r>
        <w:rPr>
          <w:rFonts w:ascii="Times New Roman" w:hAnsi="Times New Roman"/>
          <w:sz w:val="20"/>
          <w:szCs w:val="20"/>
        </w:rPr>
        <w:t xml:space="preserve"> Р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B261B1" w:rsidRDefault="00B261B1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en-US"/>
        </w:rPr>
        <w:t>Ht</w:t>
      </w:r>
      <w:r>
        <w:rPr>
          <w:rFonts w:ascii="Times New Roman" w:hAnsi="Times New Roman"/>
          <w:sz w:val="20"/>
          <w:szCs w:val="20"/>
        </w:rPr>
        <w:t xml:space="preserve"> = -------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</w:t>
      </w:r>
      <w:r w:rsidRPr="0005751A">
        <w:rPr>
          <w:rFonts w:ascii="Times New Roman" w:hAnsi="Times New Roman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  <w:u w:val="single"/>
        </w:rPr>
        <w:t xml:space="preserve">,5 </w:t>
      </w:r>
      <w:r>
        <w:rPr>
          <w:rFonts w:ascii="Times New Roman" w:hAnsi="Times New Roman"/>
          <w:sz w:val="20"/>
          <w:szCs w:val="20"/>
        </w:rPr>
        <w:t>х 100 = 25,0</w:t>
      </w:r>
    </w:p>
    <w:p w:rsidR="00B261B1" w:rsidRDefault="00B261B1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M                      3</w:t>
      </w:r>
    </w:p>
    <w:p w:rsidR="00B261B1" w:rsidRPr="0005751A" w:rsidRDefault="00B261B1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B261B1" w:rsidRDefault="00B261B1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B261B1" w:rsidRDefault="00B261B1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Ht</w:t>
      </w:r>
      <w:r>
        <w:rPr>
          <w:rFonts w:ascii="Times New Roman" w:hAnsi="Times New Roman"/>
          <w:sz w:val="20"/>
          <w:szCs w:val="20"/>
        </w:rPr>
        <w:t xml:space="preserve">                25,0    </w:t>
      </w:r>
    </w:p>
    <w:p w:rsidR="00B261B1" w:rsidRDefault="00B261B1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Э</w:t>
      </w:r>
      <w:r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</w:rPr>
        <w:t xml:space="preserve"> = 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----- х 100 = 25 %</w:t>
      </w:r>
    </w:p>
    <w:p w:rsidR="00B261B1" w:rsidRDefault="00B261B1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St</w:t>
      </w:r>
      <w:r>
        <w:rPr>
          <w:rFonts w:ascii="Times New Roman" w:hAnsi="Times New Roman"/>
          <w:sz w:val="20"/>
          <w:szCs w:val="20"/>
        </w:rPr>
        <w:t xml:space="preserve">               100</w:t>
      </w:r>
    </w:p>
    <w:p w:rsidR="00B261B1" w:rsidRPr="00233AF2" w:rsidRDefault="00B261B1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b/>
          <w:sz w:val="24"/>
          <w:szCs w:val="24"/>
        </w:rPr>
        <w:t xml:space="preserve">Вывод: </w:t>
      </w:r>
      <w:r w:rsidRPr="0005751A">
        <w:rPr>
          <w:rFonts w:ascii="Times New Roman" w:hAnsi="Times New Roman"/>
          <w:sz w:val="24"/>
          <w:szCs w:val="24"/>
        </w:rPr>
        <w:t>эффективность реализации мероприятия «</w:t>
      </w:r>
      <w:r>
        <w:rPr>
          <w:rFonts w:ascii="Times New Roman" w:hAnsi="Times New Roman"/>
          <w:sz w:val="20"/>
          <w:szCs w:val="20"/>
        </w:rPr>
        <w:t>Подготовка проектно сметной документации на строительство инженерной, транспортной инфраструктуры на  массивах</w:t>
      </w:r>
      <w:r w:rsidRPr="0005751A">
        <w:rPr>
          <w:rFonts w:ascii="Times New Roman" w:hAnsi="Times New Roman"/>
          <w:sz w:val="24"/>
          <w:szCs w:val="24"/>
        </w:rPr>
        <w:t>» составляет 25% - реализация мероприятий не соответствует запланированным результатам, т.к. по двум проектам продлили срок прохождения государственной экспертизы.</w:t>
      </w:r>
    </w:p>
    <w:p w:rsidR="00B261B1" w:rsidRPr="00233AF2" w:rsidRDefault="00B261B1" w:rsidP="0005751A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33AF2">
        <w:rPr>
          <w:rFonts w:ascii="Times New Roman" w:hAnsi="Times New Roman"/>
          <w:sz w:val="24"/>
          <w:szCs w:val="24"/>
        </w:rPr>
        <w:t>Исполнение программы составляет 45,9 %.</w:t>
      </w:r>
    </w:p>
    <w:p w:rsidR="00B261B1" w:rsidRPr="0005751A" w:rsidRDefault="00B261B1" w:rsidP="004D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751A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 составляет 3 года: 2014 – 2016 годы. </w:t>
      </w:r>
    </w:p>
    <w:p w:rsidR="00B261B1" w:rsidRPr="0005751A" w:rsidRDefault="00B261B1" w:rsidP="004D38B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Программы можно сделать вывод об неисполнении поставленной задачи и целевого значения за </w:t>
      </w: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 год. </w:t>
      </w:r>
    </w:p>
    <w:p w:rsidR="00B261B1" w:rsidRPr="0005751A" w:rsidRDefault="00B261B1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Финансирование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будет продолжено в 2016 году.</w:t>
      </w:r>
    </w:p>
    <w:p w:rsidR="00B261B1" w:rsidRDefault="00B261B1" w:rsidP="006B3C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61B1" w:rsidRPr="0005751A" w:rsidRDefault="00B261B1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 xml:space="preserve">Ответственный программы: </w:t>
      </w:r>
    </w:p>
    <w:p w:rsidR="00B261B1" w:rsidRPr="0005751A" w:rsidRDefault="00B261B1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 xml:space="preserve">Заместитель главы администрации муниципального образования Запорожское сельское поселение, курирующий вопросы жилищно-коммунального хозяйства: </w:t>
      </w:r>
      <w:r>
        <w:rPr>
          <w:rFonts w:ascii="Times New Roman" w:hAnsi="Times New Roman"/>
          <w:sz w:val="24"/>
          <w:szCs w:val="24"/>
        </w:rPr>
        <w:t>Шуткина Л.С.</w:t>
      </w:r>
    </w:p>
    <w:p w:rsidR="00B261B1" w:rsidRPr="00233AF2" w:rsidRDefault="00B261B1" w:rsidP="0056796E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тел. (8-813-79) 66 319</w:t>
      </w:r>
    </w:p>
    <w:p w:rsidR="00B261B1" w:rsidRPr="00233AF2" w:rsidRDefault="00B261B1" w:rsidP="0056796E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эл.адрес:  </w:t>
      </w:r>
      <w:hyperlink r:id="rId5" w:history="1"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zaporojskoe</w:t>
        </w:r>
        <w:r w:rsidRPr="00233AF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233AF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261B1" w:rsidRPr="00233AF2" w:rsidRDefault="00B261B1" w:rsidP="00233AF2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Подпись_______________________</w:t>
      </w:r>
    </w:p>
    <w:p w:rsidR="00B261B1" w:rsidRPr="007328C8" w:rsidRDefault="00B261B1" w:rsidP="001934F5">
      <w:pPr>
        <w:rPr>
          <w:rFonts w:ascii="Times New Roman" w:hAnsi="Times New Roman"/>
          <w:b/>
          <w:sz w:val="20"/>
          <w:szCs w:val="20"/>
        </w:rPr>
      </w:pPr>
    </w:p>
    <w:sectPr w:rsidR="00B261B1" w:rsidRPr="007328C8" w:rsidSect="00233AF2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cs="Times New Roman" w:hint="default"/>
      </w:r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2344F"/>
    <w:rsid w:val="0002374A"/>
    <w:rsid w:val="00054530"/>
    <w:rsid w:val="000564A6"/>
    <w:rsid w:val="0005751A"/>
    <w:rsid w:val="00090399"/>
    <w:rsid w:val="000A404B"/>
    <w:rsid w:val="00112FAE"/>
    <w:rsid w:val="00113DDC"/>
    <w:rsid w:val="00157B24"/>
    <w:rsid w:val="001934F5"/>
    <w:rsid w:val="00233AF2"/>
    <w:rsid w:val="00266C19"/>
    <w:rsid w:val="00271D5E"/>
    <w:rsid w:val="00275265"/>
    <w:rsid w:val="00275FA8"/>
    <w:rsid w:val="00325C5F"/>
    <w:rsid w:val="003926CC"/>
    <w:rsid w:val="003C4DAA"/>
    <w:rsid w:val="00437923"/>
    <w:rsid w:val="004818C3"/>
    <w:rsid w:val="004D38B2"/>
    <w:rsid w:val="004F0B53"/>
    <w:rsid w:val="00506608"/>
    <w:rsid w:val="00517817"/>
    <w:rsid w:val="005216B4"/>
    <w:rsid w:val="00521EF5"/>
    <w:rsid w:val="00545DDB"/>
    <w:rsid w:val="0056796E"/>
    <w:rsid w:val="005D21E0"/>
    <w:rsid w:val="005E3D7B"/>
    <w:rsid w:val="00641FA7"/>
    <w:rsid w:val="006B3C6C"/>
    <w:rsid w:val="0070423B"/>
    <w:rsid w:val="007328C8"/>
    <w:rsid w:val="00754810"/>
    <w:rsid w:val="00797902"/>
    <w:rsid w:val="007A64AE"/>
    <w:rsid w:val="00882BC6"/>
    <w:rsid w:val="0088386E"/>
    <w:rsid w:val="008A5BD8"/>
    <w:rsid w:val="008E5635"/>
    <w:rsid w:val="008F6D22"/>
    <w:rsid w:val="00916548"/>
    <w:rsid w:val="0098573A"/>
    <w:rsid w:val="009A3AED"/>
    <w:rsid w:val="009B3DB0"/>
    <w:rsid w:val="009C0626"/>
    <w:rsid w:val="00A22516"/>
    <w:rsid w:val="00A65EF0"/>
    <w:rsid w:val="00AA04A6"/>
    <w:rsid w:val="00AB1D24"/>
    <w:rsid w:val="00AC7ED3"/>
    <w:rsid w:val="00B261B1"/>
    <w:rsid w:val="00B520FB"/>
    <w:rsid w:val="00B615AA"/>
    <w:rsid w:val="00BD1B1C"/>
    <w:rsid w:val="00C261AF"/>
    <w:rsid w:val="00C63857"/>
    <w:rsid w:val="00CB6F0F"/>
    <w:rsid w:val="00D760D3"/>
    <w:rsid w:val="00D82933"/>
    <w:rsid w:val="00DA4D2E"/>
    <w:rsid w:val="00DC66FA"/>
    <w:rsid w:val="00E3693E"/>
    <w:rsid w:val="00E53805"/>
    <w:rsid w:val="00E67677"/>
    <w:rsid w:val="00EA1B94"/>
    <w:rsid w:val="00EC604C"/>
    <w:rsid w:val="00F21085"/>
    <w:rsid w:val="00F2187C"/>
    <w:rsid w:val="00F43447"/>
    <w:rsid w:val="00F56D3D"/>
    <w:rsid w:val="00F615CA"/>
    <w:rsid w:val="00FB43E7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A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semiHidden/>
    <w:rsid w:val="004818C3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6A5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4818C3"/>
    <w:rPr>
      <w:rFonts w:ascii="Times New Roman" w:eastAsia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7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1794</Words>
  <Characters>10230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2016-04-12T07:05:00Z</cp:lastPrinted>
  <dcterms:created xsi:type="dcterms:W3CDTF">2016-06-19T11:26:00Z</dcterms:created>
  <dcterms:modified xsi:type="dcterms:W3CDTF">2016-06-19T11:26:00Z</dcterms:modified>
</cp:coreProperties>
</file>