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A3" w:rsidRDefault="00E552A3">
      <w:r>
        <w:t>За единовременной выплатой можно обратиться до 31 марта</w:t>
      </w:r>
    </w:p>
    <w:p w:rsidR="00733835" w:rsidRDefault="00E552A3">
      <w:r>
        <w:br/>
        <w:t>Всем семьям, в которых рождение детей будет зарегистрировано в органах ЗАГС до 31 марта 2021 года включительно, для получения единовременной выплаты в 5 тыс. руб., требуется подать заявление. Сделать это можно на портале Госуслуг или по предварительной записи лично в клиентской службе Пенсионного фонда. 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включительно. Выплата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года, в том числе, и на детей, родившихся после выхода указа, то есть с 18 декабря 2020 года. 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официальным представителем или опекуном ребенка.</w:t>
      </w:r>
    </w:p>
    <w:sectPr w:rsidR="007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E552A3"/>
    <w:rsid w:val="00733835"/>
    <w:rsid w:val="00E5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2021-03-11T12:47:00Z</dcterms:created>
  <dcterms:modified xsi:type="dcterms:W3CDTF">2021-03-11T12:47:00Z</dcterms:modified>
</cp:coreProperties>
</file>