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21" w:rsidRDefault="004419DE">
      <w:pPr>
        <w:pStyle w:val="ConsPlusNormal"/>
      </w:pPr>
      <w:bookmarkStart w:id="0" w:name="_GoBack"/>
      <w:bookmarkEnd w:id="0"/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-193038</wp:posOffset>
                </wp:positionV>
                <wp:extent cx="2838453" cy="1915796"/>
                <wp:effectExtent l="0" t="0" r="0" b="8254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3" cy="1915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2E21" w:rsidRDefault="004419DE">
                            <w:pPr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МУНИЦИПАЛЬНОЕ ОБРАЗОВАНИЕ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ПРИОЗЕРСКИЙ МУНИЦИПАЛЬНЫЙ РАЙОН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ЛЕНИНГРАДСКОЙ ОБЛАСТИ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АДМИНИСТРАЦИЯ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ЗАПОРОЖСКОЕ </w:t>
                            </w:r>
                          </w:p>
                          <w:p w:rsidR="00E92E21" w:rsidRDefault="004419D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ЕЛЬСКОЕ ПОСЕЛЕНИЕ</w:t>
                            </w: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188734,  Ленинградская</w:t>
                            </w: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область,                                                                                        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Приозерский район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 xml:space="preserve">       пос. Запорожское, ул. Механизаторов, д. 2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Тел. Факс 66-319</w:t>
                            </w:r>
                          </w:p>
                          <w:p w:rsidR="00E92E21" w:rsidRDefault="004419DE">
                            <w:pPr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t>zaporojskoe@yandex.ru</w:t>
                              </w:r>
                            </w:hyperlink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 xml:space="preserve">                                                      _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17.03.2017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____№______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161</w:t>
                            </w: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E92E21" w:rsidRDefault="004419DE">
                            <w:pPr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  <w:lang w:val="ru-RU"/>
                              </w:rPr>
                              <w:t>На №__12/01-01__от____09.03.2017___</w:t>
                            </w:r>
                          </w:p>
                          <w:p w:rsidR="00E92E21" w:rsidRDefault="00E92E21">
                            <w:pPr>
                              <w:tabs>
                                <w:tab w:val="left" w:pos="2144"/>
                              </w:tabs>
                              <w:ind w:left="-54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4419DE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  </w:t>
                            </w: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92E21" w:rsidRDefault="00E92E2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8pt;margin-top:-15.2pt;width:223.5pt;height:1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" stroked="f">
                <v:textbox>
                  <w:txbxContent>
                    <w:p w:rsidR="00E92E21" w:rsidRDefault="004419DE">
                      <w:pPr>
                        <w:jc w:val="center"/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МУНИЦИПАЛЬНОЕ ОБРАЗОВАНИЕ</w:t>
                      </w:r>
                    </w:p>
                    <w:p w:rsidR="00E92E21" w:rsidRDefault="004419DE">
                      <w:pPr>
                        <w:jc w:val="center"/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ПРИОЗЕРСКИЙ МУНИЦИПАЛЬНЫЙ РАЙОН</w:t>
                      </w:r>
                    </w:p>
                    <w:p w:rsidR="00E92E21" w:rsidRDefault="004419DE">
                      <w:pPr>
                        <w:jc w:val="center"/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ЛЕНИНГРАДСКОЙ ОБЛАСТИ</w:t>
                      </w:r>
                    </w:p>
                    <w:p w:rsidR="00E92E21" w:rsidRDefault="004419DE">
                      <w:pPr>
                        <w:jc w:val="center"/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>АДМИНИСТРАЦИЯ</w:t>
                      </w:r>
                    </w:p>
                    <w:p w:rsidR="00E92E21" w:rsidRDefault="004419DE">
                      <w:pPr>
                        <w:jc w:val="center"/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>МУНИЦИПАЛЬНОГО ОБРАЗОВАНИЯ</w:t>
                      </w:r>
                    </w:p>
                    <w:p w:rsidR="00E92E21" w:rsidRDefault="004419DE">
                      <w:pPr>
                        <w:jc w:val="center"/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 xml:space="preserve">ЗАПОРОЖСКОЕ </w:t>
                      </w:r>
                    </w:p>
                    <w:p w:rsidR="00E92E21" w:rsidRDefault="004419DE">
                      <w:pPr>
                        <w:jc w:val="center"/>
                      </w:pP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>ЕЛЬСКОЕ ПОСЕЛЕНИЕ</w:t>
                      </w: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br/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     </w:t>
                      </w: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>188734,  Ленинградская</w:t>
                      </w: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область,                                                                                        </w:t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br/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                  </w:t>
                      </w:r>
                      <w:r>
                        <w:rPr>
                          <w:b/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Приозерский район</w:t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 xml:space="preserve">       пос. Запорожское, ул. Механизаторов, д. 2</w:t>
                      </w:r>
                    </w:p>
                    <w:p w:rsidR="00E92E21" w:rsidRDefault="004419DE">
                      <w:pPr>
                        <w:jc w:val="center"/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Тел. Факс 66-319</w:t>
                      </w:r>
                    </w:p>
                    <w:p w:rsidR="00E92E21" w:rsidRDefault="004419DE">
                      <w:pPr>
                        <w:jc w:val="center"/>
                      </w:pPr>
                      <w:r>
                        <w:rPr>
                          <w:color w:val="333333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t>zaporojskoe@yandex.ru</w:t>
                        </w:r>
                      </w:hyperlink>
                      <w:r>
                        <w:rPr>
                          <w:color w:val="333333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color w:val="333333"/>
                          <w:sz w:val="16"/>
                          <w:szCs w:val="16"/>
                        </w:rPr>
                        <w:t xml:space="preserve">                                                      _</w:t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17.03.2017</w:t>
                      </w:r>
                      <w:r>
                        <w:rPr>
                          <w:color w:val="333333"/>
                          <w:sz w:val="16"/>
                          <w:szCs w:val="16"/>
                        </w:rPr>
                        <w:t>____№______</w:t>
                      </w: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161</w:t>
                      </w:r>
                      <w:r>
                        <w:rPr>
                          <w:color w:val="333333"/>
                          <w:sz w:val="16"/>
                          <w:szCs w:val="16"/>
                        </w:rPr>
                        <w:t>______</w:t>
                      </w:r>
                    </w:p>
                    <w:p w:rsidR="00E92E21" w:rsidRDefault="004419DE">
                      <w:pPr>
                        <w:jc w:val="center"/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333333"/>
                          <w:sz w:val="16"/>
                          <w:szCs w:val="16"/>
                          <w:lang w:val="ru-RU"/>
                        </w:rPr>
                        <w:t>На №__12/01-01__от____09.03.2017___</w:t>
                      </w:r>
                    </w:p>
                    <w:p w:rsidR="00E92E21" w:rsidRDefault="00E92E21">
                      <w:pPr>
                        <w:tabs>
                          <w:tab w:val="left" w:pos="2144"/>
                        </w:tabs>
                        <w:ind w:left="-54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4419DE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       </w:t>
                      </w: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>
                      <w:pPr>
                        <w:ind w:left="-54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E92E21" w:rsidRDefault="00E92E21"/>
                  </w:txbxContent>
                </v:textbox>
              </v:shape>
            </w:pict>
          </mc:Fallback>
        </mc:AlternateContent>
      </w:r>
    </w:p>
    <w:p w:rsidR="00E92E21" w:rsidRDefault="004419DE">
      <w:pPr>
        <w:pStyle w:val="ConsPlusNorma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108585</wp:posOffset>
                </wp:positionV>
                <wp:extent cx="5937254" cy="1143000"/>
                <wp:effectExtent l="0" t="0" r="0" b="0"/>
                <wp:wrapSquare wrapText="bothSides"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4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2E21" w:rsidRDefault="004419DE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СВЕДЕНИЯ</w:t>
                            </w:r>
                          </w:p>
                          <w:p w:rsidR="00E92E21" w:rsidRDefault="004419DE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результатах мониторинга деятельности комиссий по соблюдению требований к служебному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поведению государственных гражданских служащих Ленинградской области (муниципальных служащих) и урегулированию конфликта интересов) за  1 квартал  2017года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292.05pt;margin-top:8.55pt;width:467.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" filled="f" stroked="f">
                <v:textbox>
                  <w:txbxContent>
                    <w:p w:rsidR="00E92E21" w:rsidRDefault="004419DE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СВЕДЕНИЯ</w:t>
                      </w:r>
                    </w:p>
                    <w:p w:rsidR="00E92E21" w:rsidRDefault="004419DE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результатах мониторинга деятельности комиссий по соблюдению требований к служебному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поведению государственных гражданских служащих Ленинградской области (муниципальных служащих) и урегулированию конфликта интересов) за  1 квартал  2017года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rPr>
          <w:rFonts w:cs="Times New Roman"/>
          <w:b/>
        </w:rPr>
      </w:pPr>
    </w:p>
    <w:p w:rsidR="00E92E21" w:rsidRDefault="00E92E21">
      <w:pPr>
        <w:pStyle w:val="ConsPlusNormal"/>
        <w:ind w:firstLine="540"/>
        <w:jc w:val="center"/>
        <w:rPr>
          <w:rFonts w:cs="Times New Roman"/>
          <w:b/>
        </w:rPr>
      </w:pPr>
    </w:p>
    <w:p w:rsidR="00E92E21" w:rsidRDefault="00E92E21">
      <w:pPr>
        <w:pStyle w:val="ConsPlusNormal"/>
        <w:ind w:firstLine="540"/>
        <w:jc w:val="center"/>
        <w:rPr>
          <w:rFonts w:cs="Times New Roman"/>
          <w:b/>
        </w:rPr>
      </w:pPr>
    </w:p>
    <w:p w:rsidR="00E92E21" w:rsidRDefault="00E92E21">
      <w:pPr>
        <w:pStyle w:val="ConsPlusNormal"/>
        <w:ind w:firstLine="540"/>
        <w:jc w:val="center"/>
        <w:rPr>
          <w:rFonts w:cs="Times New Roman"/>
          <w:b/>
        </w:rPr>
      </w:pPr>
    </w:p>
    <w:p w:rsidR="00E92E21" w:rsidRDefault="00E92E21">
      <w:pPr>
        <w:pStyle w:val="ConsPlusNormal"/>
        <w:ind w:firstLine="540"/>
        <w:jc w:val="center"/>
        <w:rPr>
          <w:rFonts w:cs="Times New Roman"/>
          <w:lang w:val="de-DE"/>
        </w:rPr>
      </w:pPr>
    </w:p>
    <w:tbl>
      <w:tblPr>
        <w:tblW w:w="15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873"/>
        <w:gridCol w:w="708"/>
        <w:gridCol w:w="993"/>
        <w:gridCol w:w="1134"/>
        <w:gridCol w:w="1134"/>
        <w:gridCol w:w="1134"/>
        <w:gridCol w:w="1275"/>
        <w:gridCol w:w="1234"/>
        <w:gridCol w:w="848"/>
        <w:gridCol w:w="895"/>
        <w:gridCol w:w="1276"/>
        <w:gridCol w:w="992"/>
        <w:gridCol w:w="992"/>
        <w:gridCol w:w="1003"/>
      </w:tblGrid>
      <w:tr w:rsidR="00E92E21">
        <w:tblPrEx>
          <w:tblCellMar>
            <w:top w:w="0" w:type="dxa"/>
            <w:bottom w:w="0" w:type="dxa"/>
          </w:tblCellMar>
        </w:tblPrEx>
        <w:tc>
          <w:tcPr>
            <w:tcW w:w="107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87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Общее число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органов /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образован-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ных в них комиссий в соответствии с Указом П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резидента РФ от 01.07.2010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№ 821</w:t>
            </w:r>
          </w:p>
        </w:tc>
        <w:tc>
          <w:tcPr>
            <w:tcW w:w="70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 проведен-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ных заседаний комиссий</w:t>
            </w:r>
          </w:p>
        </w:tc>
        <w:tc>
          <w:tcPr>
            <w:tcW w:w="56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25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 установленных комиссиями нарушений, касающихся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 отказов в замещении должности либо в вы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полнении работы на условиях гражданско-правового договора после увольнения со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 служащих, привлеченных к дисциплинар-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ной ответственности по результатам заседаний комиссий</w:t>
            </w:r>
          </w:p>
        </w:tc>
        <w:tc>
          <w:tcPr>
            <w:tcW w:w="100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Количество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материалов, направленных комиссиями в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правоохранительные органы</w:t>
            </w:r>
          </w:p>
        </w:tc>
      </w:tr>
      <w:tr w:rsidR="00E92E21">
        <w:tblPrEx>
          <w:tblCellMar>
            <w:top w:w="0" w:type="dxa"/>
            <w:bottom w:w="0" w:type="dxa"/>
          </w:tblCellMar>
        </w:tblPrEx>
        <w:trPr>
          <w:trHeight w:val="5248"/>
        </w:trPr>
        <w:tc>
          <w:tcPr>
            <w:tcW w:w="1079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873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несоблюдения служащими требований к служебному поведению и (или) требований об урегулировании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конфликта интересов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невозможности по объективным причинам представить сведения о доходах супруги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(супруга) и несовершеннолетних детей</w:t>
            </w:r>
          </w:p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2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соблюдения требований о достоверности и пол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ноте сведений о доходах, об имуществе и обязательствах имущественного характера</w:t>
            </w:r>
          </w:p>
        </w:tc>
        <w:tc>
          <w:tcPr>
            <w:tcW w:w="84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соблюдения требований к служебному поведению</w:t>
            </w:r>
          </w:p>
        </w:tc>
        <w:tc>
          <w:tcPr>
            <w:tcW w:w="8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соблюдения требований об урегулировании конфликта интересов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соблюдения требований  об объективности и уважительности причин непредс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тавления сведений о доходах супруги (супруга) и несовершеннолетних детей</w:t>
            </w:r>
          </w:p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служащего</w:t>
            </w: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003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E92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E92E2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7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9</w:t>
            </w:r>
          </w:p>
        </w:tc>
        <w:tc>
          <w:tcPr>
            <w:tcW w:w="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</w:p>
        </w:tc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11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12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15</w:t>
            </w:r>
          </w:p>
        </w:tc>
      </w:tr>
      <w:tr w:rsidR="00E92E2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7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Запорожское с.п</w:t>
            </w:r>
          </w:p>
        </w:tc>
        <w:tc>
          <w:tcPr>
            <w:tcW w:w="87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70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12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8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89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--</w:t>
            </w:r>
          </w:p>
        </w:tc>
        <w:tc>
          <w:tcPr>
            <w:tcW w:w="127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0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21" w:rsidRDefault="0044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:rsidR="00E92E21" w:rsidRDefault="00E92E21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val="de-DE"/>
        </w:rPr>
      </w:pPr>
    </w:p>
    <w:p w:rsidR="00E92E21" w:rsidRDefault="004419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Гапоненков</w:t>
      </w:r>
    </w:p>
    <w:p w:rsidR="00E92E21" w:rsidRDefault="00E92E21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E92E21" w:rsidRDefault="004419D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09.03.2017 года утверждён план </w:t>
      </w:r>
      <w:r>
        <w:rPr>
          <w:rFonts w:ascii="Times New Roman" w:hAnsi="Times New Roman" w:cs="Times New Roman"/>
          <w:b/>
        </w:rPr>
        <w:t>мероприятий на 2017 год</w:t>
      </w:r>
    </w:p>
    <w:p w:rsidR="00E92E21" w:rsidRDefault="00E92E21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92E21" w:rsidRDefault="00E92E21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92E21" w:rsidRDefault="004419D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Ю.С. Богачева; 8(81379)66-319</w:t>
      </w:r>
    </w:p>
    <w:p w:rsidR="00E92E21" w:rsidRDefault="00E92E21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2E21" w:rsidRDefault="00E92E21">
      <w:pPr>
        <w:pStyle w:val="Standard"/>
        <w:rPr>
          <w:sz w:val="16"/>
          <w:szCs w:val="16"/>
          <w:lang w:val="ru-RU"/>
        </w:rPr>
      </w:pPr>
    </w:p>
    <w:sectPr w:rsidR="00E92E21">
      <w:pgSz w:w="16838" w:h="11906" w:orient="landscape"/>
      <w:pgMar w:top="454" w:right="454" w:bottom="142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DE" w:rsidRDefault="004419DE">
      <w:r>
        <w:separator/>
      </w:r>
    </w:p>
  </w:endnote>
  <w:endnote w:type="continuationSeparator" w:id="0">
    <w:p w:rsidR="004419DE" w:rsidRDefault="004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DE" w:rsidRDefault="004419DE">
      <w:r>
        <w:rPr>
          <w:color w:val="000000"/>
        </w:rPr>
        <w:separator/>
      </w:r>
    </w:p>
  </w:footnote>
  <w:footnote w:type="continuationSeparator" w:id="0">
    <w:p w:rsidR="004419DE" w:rsidRDefault="004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2E21"/>
    <w:rsid w:val="004419DE"/>
    <w:rsid w:val="0049651D"/>
    <w:rsid w:val="00E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E60A5-8936-4CD0-A39C-EB0AF00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porojskoe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orojskoe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</cp:lastModifiedBy>
  <cp:revision>2</cp:revision>
  <cp:lastPrinted>2017-03-15T12:31:00Z</cp:lastPrinted>
  <dcterms:created xsi:type="dcterms:W3CDTF">2018-05-15T09:36:00Z</dcterms:created>
  <dcterms:modified xsi:type="dcterms:W3CDTF">2018-05-15T09:36:00Z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