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EB" w:rsidRPr="00930AB6" w:rsidRDefault="00930AB6" w:rsidP="00930AB6">
      <w:r>
        <w:t>Как выбрать вариант пенсионного обеспечения?</w:t>
      </w:r>
      <w:r>
        <w:br/>
        <w:t>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 Кроме того, застрахованное лицо по-прежнему вправе распоряжаться указанными пенсионными накоплениями и выбирать, кому доверить управление ими.</w:t>
      </w:r>
      <w:r>
        <w:br/>
        <w:t xml:space="preserve">Важно! В 2014-2020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 </w:t>
      </w:r>
      <w:r>
        <w:br/>
      </w:r>
      <w:r>
        <w:br/>
        <w:t xml:space="preserve">Вне зависимости от выбора варианта пенсионного обеспечения в системе ОПС у всех граждан, имеющих пенсионные накопления, есть право доверить их управление, выбрав: </w:t>
      </w:r>
      <w:r>
        <w:br/>
        <w:t xml:space="preserve">управляющую компанию (УК), отобранную по конкурсу, с которой ПФР заключил договор доверительного управления средствами пенсионных накоплений, в </w:t>
      </w:r>
      <w:proofErr w:type="spellStart"/>
      <w:r>
        <w:t>т.ч</w:t>
      </w:r>
      <w:proofErr w:type="spellEnd"/>
      <w:r>
        <w:t xml:space="preserve">. один из инвестиционных портфелей государственной управляющей компании (ГУК) - </w:t>
      </w:r>
      <w:hyperlink r:id="rId5" w:tgtFrame="_blank" w:history="1">
        <w:r>
          <w:rPr>
            <w:rStyle w:val="a3"/>
          </w:rPr>
          <w:t>ВЭБ</w:t>
        </w:r>
        <w:proofErr w:type="gramStart"/>
        <w:r>
          <w:rPr>
            <w:rStyle w:val="a3"/>
          </w:rPr>
          <w:t>.Р</w:t>
        </w:r>
        <w:proofErr w:type="gramEnd"/>
        <w:r>
          <w:rPr>
            <w:rStyle w:val="a3"/>
          </w:rPr>
          <w:t>Ф</w:t>
        </w:r>
      </w:hyperlink>
      <w:r>
        <w:t>;</w:t>
      </w:r>
      <w:r>
        <w:br/>
        <w:t>негосударственному пенсионному фонду (НПФ), осуществляющему деятельность по обязательному пенсионному страхованию.</w:t>
      </w:r>
      <w:r>
        <w:br/>
      </w:r>
      <w:r>
        <w:br/>
        <w:t xml:space="preserve">Менять страховщика (ПФР или НПФ), управляющую компанию можно ежегодно, подав соответствующее заявление в ближайший территориальный орган ПФР. Кроме того, различается порядок расчета сумм пенсионных накоплений, подлежащих перечислению новому страховщику. </w:t>
      </w:r>
      <w:r>
        <w:br/>
        <w:t>Важно! Если гражданин будет осуществлять смену страховщика чаще одного раза в пять лет, он может потерять инвестиционный доход, полученный предыдущим страховщиком. При этом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r>
        <w:br/>
      </w:r>
      <w:r>
        <w:br/>
        <w:t>В чем разница между УК и НПФ?</w:t>
      </w:r>
      <w:r>
        <w:br/>
      </w:r>
      <w:r>
        <w:b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bookmarkStart w:id="0" w:name="_GoBack"/>
      <w:bookmarkEnd w:id="0"/>
    </w:p>
    <w:sectPr w:rsidR="002B72EB" w:rsidRPr="0093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EB"/>
    <w:rsid w:val="00277658"/>
    <w:rsid w:val="002B72EB"/>
    <w:rsid w:val="004D432F"/>
    <w:rsid w:val="006406E7"/>
    <w:rsid w:val="00686875"/>
    <w:rsid w:val="008104D2"/>
    <w:rsid w:val="00930AB6"/>
    <w:rsid w:val="009617B1"/>
    <w:rsid w:val="0096584C"/>
    <w:rsid w:val="00972A92"/>
    <w:rsid w:val="009C3DD8"/>
    <w:rsid w:val="00A13355"/>
    <w:rsid w:val="00AA5A5A"/>
    <w:rsid w:val="00C260D4"/>
    <w:rsid w:val="00C53558"/>
    <w:rsid w:val="00E56368"/>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1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512">
          <w:marLeft w:val="0"/>
          <w:marRight w:val="0"/>
          <w:marTop w:val="0"/>
          <w:marBottom w:val="0"/>
          <w:divBdr>
            <w:top w:val="none" w:sz="0" w:space="0" w:color="auto"/>
            <w:left w:val="none" w:sz="0" w:space="0" w:color="auto"/>
            <w:bottom w:val="none" w:sz="0" w:space="0" w:color="auto"/>
            <w:right w:val="none" w:sz="0" w:space="0" w:color="auto"/>
          </w:divBdr>
          <w:divsChild>
            <w:div w:id="1077558168">
              <w:marLeft w:val="0"/>
              <w:marRight w:val="0"/>
              <w:marTop w:val="0"/>
              <w:marBottom w:val="0"/>
              <w:divBdr>
                <w:top w:val="none" w:sz="0" w:space="0" w:color="auto"/>
                <w:left w:val="none" w:sz="0" w:space="0" w:color="auto"/>
                <w:bottom w:val="none" w:sz="0" w:space="0" w:color="auto"/>
                <w:right w:val="none" w:sz="0" w:space="0" w:color="auto"/>
              </w:divBdr>
              <w:divsChild>
                <w:div w:id="190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3718">
      <w:bodyDiv w:val="1"/>
      <w:marLeft w:val="0"/>
      <w:marRight w:val="0"/>
      <w:marTop w:val="0"/>
      <w:marBottom w:val="0"/>
      <w:divBdr>
        <w:top w:val="none" w:sz="0" w:space="0" w:color="auto"/>
        <w:left w:val="none" w:sz="0" w:space="0" w:color="auto"/>
        <w:bottom w:val="none" w:sz="0" w:space="0" w:color="auto"/>
        <w:right w:val="none" w:sz="0" w:space="0" w:color="auto"/>
      </w:divBdr>
      <w:divsChild>
        <w:div w:id="1508204348">
          <w:marLeft w:val="0"/>
          <w:marRight w:val="0"/>
          <w:marTop w:val="0"/>
          <w:marBottom w:val="0"/>
          <w:divBdr>
            <w:top w:val="none" w:sz="0" w:space="0" w:color="auto"/>
            <w:left w:val="none" w:sz="0" w:space="0" w:color="auto"/>
            <w:bottom w:val="none" w:sz="0" w:space="0" w:color="auto"/>
            <w:right w:val="none" w:sz="0" w:space="0" w:color="auto"/>
          </w:divBdr>
          <w:divsChild>
            <w:div w:id="1219897566">
              <w:marLeft w:val="0"/>
              <w:marRight w:val="0"/>
              <w:marTop w:val="0"/>
              <w:marBottom w:val="0"/>
              <w:divBdr>
                <w:top w:val="none" w:sz="0" w:space="0" w:color="auto"/>
                <w:left w:val="none" w:sz="0" w:space="0" w:color="auto"/>
                <w:bottom w:val="none" w:sz="0" w:space="0" w:color="auto"/>
                <w:right w:val="none" w:sz="0" w:space="0" w:color="auto"/>
              </w:divBdr>
              <w:divsChild>
                <w:div w:id="7361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3866">
      <w:bodyDiv w:val="1"/>
      <w:marLeft w:val="0"/>
      <w:marRight w:val="0"/>
      <w:marTop w:val="0"/>
      <w:marBottom w:val="0"/>
      <w:divBdr>
        <w:top w:val="none" w:sz="0" w:space="0" w:color="auto"/>
        <w:left w:val="none" w:sz="0" w:space="0" w:color="auto"/>
        <w:bottom w:val="none" w:sz="0" w:space="0" w:color="auto"/>
        <w:right w:val="none" w:sz="0" w:space="0" w:color="auto"/>
      </w:divBdr>
      <w:divsChild>
        <w:div w:id="548105253">
          <w:marLeft w:val="0"/>
          <w:marRight w:val="0"/>
          <w:marTop w:val="0"/>
          <w:marBottom w:val="0"/>
          <w:divBdr>
            <w:top w:val="none" w:sz="0" w:space="0" w:color="auto"/>
            <w:left w:val="none" w:sz="0" w:space="0" w:color="auto"/>
            <w:bottom w:val="none" w:sz="0" w:space="0" w:color="auto"/>
            <w:right w:val="none" w:sz="0" w:space="0" w:color="auto"/>
          </w:divBdr>
        </w:div>
      </w:divsChild>
    </w:div>
    <w:div w:id="1999385971">
      <w:bodyDiv w:val="1"/>
      <w:marLeft w:val="0"/>
      <w:marRight w:val="0"/>
      <w:marTop w:val="0"/>
      <w:marBottom w:val="0"/>
      <w:divBdr>
        <w:top w:val="none" w:sz="0" w:space="0" w:color="auto"/>
        <w:left w:val="none" w:sz="0" w:space="0" w:color="auto"/>
        <w:bottom w:val="none" w:sz="0" w:space="0" w:color="auto"/>
        <w:right w:val="none" w:sz="0" w:space="0" w:color="auto"/>
      </w:divBdr>
      <w:divsChild>
        <w:div w:id="906836989">
          <w:marLeft w:val="0"/>
          <w:marRight w:val="0"/>
          <w:marTop w:val="0"/>
          <w:marBottom w:val="0"/>
          <w:divBdr>
            <w:top w:val="none" w:sz="0" w:space="0" w:color="auto"/>
            <w:left w:val="none" w:sz="0" w:space="0" w:color="auto"/>
            <w:bottom w:val="none" w:sz="0" w:space="0" w:color="auto"/>
            <w:right w:val="none" w:sz="0" w:space="0" w:color="auto"/>
          </w:divBdr>
          <w:divsChild>
            <w:div w:id="961957077">
              <w:marLeft w:val="0"/>
              <w:marRight w:val="0"/>
              <w:marTop w:val="0"/>
              <w:marBottom w:val="0"/>
              <w:divBdr>
                <w:top w:val="none" w:sz="0" w:space="0" w:color="auto"/>
                <w:left w:val="none" w:sz="0" w:space="0" w:color="auto"/>
                <w:bottom w:val="none" w:sz="0" w:space="0" w:color="auto"/>
                <w:right w:val="none" w:sz="0" w:space="0" w:color="auto"/>
              </w:divBdr>
              <w:divsChild>
                <w:div w:id="1585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C2%DD%C1.%D0%D4&amp;post=-98718584_5792&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2019-08-26T06:42:00Z</dcterms:created>
  <dcterms:modified xsi:type="dcterms:W3CDTF">2019-08-26T06:42:00Z</dcterms:modified>
</cp:coreProperties>
</file>